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70" w:rsidRDefault="00585D70" w:rsidP="00585D70">
      <w:bookmarkStart w:id="0" w:name="_GoBack"/>
      <w:bookmarkEnd w:id="0"/>
    </w:p>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Guatemala, Enero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792387" w:rsidRDefault="00792387" w:rsidP="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58024980" w:history="1">
            <w:r w:rsidRPr="00EA63E1">
              <w:rPr>
                <w:rStyle w:val="Hipervnculo"/>
                <w:noProof/>
              </w:rPr>
              <w:t>a)</w:t>
            </w:r>
            <w:r>
              <w:rPr>
                <w:rFonts w:eastAsiaTheme="minorEastAsia"/>
                <w:noProof/>
                <w:sz w:val="22"/>
                <w:szCs w:val="22"/>
                <w:lang w:eastAsia="es-GT"/>
              </w:rPr>
              <w:tab/>
            </w:r>
            <w:r w:rsidRPr="00EA63E1">
              <w:rPr>
                <w:rStyle w:val="Hipervnculo"/>
                <w:noProof/>
              </w:rPr>
              <w:t>Antecedentes</w:t>
            </w:r>
            <w:r>
              <w:rPr>
                <w:noProof/>
                <w:webHidden/>
              </w:rPr>
              <w:tab/>
            </w:r>
            <w:r>
              <w:rPr>
                <w:noProof/>
                <w:webHidden/>
              </w:rPr>
              <w:fldChar w:fldCharType="begin"/>
            </w:r>
            <w:r>
              <w:rPr>
                <w:noProof/>
                <w:webHidden/>
              </w:rPr>
              <w:instrText xml:space="preserve"> PAGEREF _Toc158024980 \h </w:instrText>
            </w:r>
            <w:r>
              <w:rPr>
                <w:noProof/>
                <w:webHidden/>
              </w:rPr>
            </w:r>
            <w:r>
              <w:rPr>
                <w:noProof/>
                <w:webHidden/>
              </w:rPr>
              <w:fldChar w:fldCharType="separate"/>
            </w:r>
            <w:r w:rsidR="00515D1B">
              <w:rPr>
                <w:noProof/>
                <w:webHidden/>
              </w:rPr>
              <w:t>3</w:t>
            </w:r>
            <w:r>
              <w:rPr>
                <w:noProof/>
                <w:webHidden/>
              </w:rPr>
              <w:fldChar w:fldCharType="end"/>
            </w:r>
          </w:hyperlink>
        </w:p>
        <w:p w:rsidR="00792387" w:rsidRDefault="00515D1B" w:rsidP="00792387">
          <w:pPr>
            <w:pStyle w:val="TDC1"/>
            <w:rPr>
              <w:rFonts w:eastAsiaTheme="minorEastAsia"/>
              <w:noProof/>
              <w:sz w:val="22"/>
              <w:szCs w:val="22"/>
              <w:lang w:eastAsia="es-GT"/>
            </w:rPr>
          </w:pPr>
          <w:hyperlink w:anchor="_Toc158024981" w:history="1">
            <w:r w:rsidR="00792387" w:rsidRPr="00EA63E1">
              <w:rPr>
                <w:rStyle w:val="Hipervnculo"/>
                <w:noProof/>
              </w:rPr>
              <w:t>b)</w:t>
            </w:r>
            <w:r w:rsidR="00792387">
              <w:rPr>
                <w:rFonts w:eastAsiaTheme="minorEastAsia"/>
                <w:noProof/>
                <w:sz w:val="22"/>
                <w:szCs w:val="22"/>
                <w:lang w:eastAsia="es-GT"/>
              </w:rPr>
              <w:tab/>
            </w:r>
            <w:r w:rsidR="00792387" w:rsidRPr="00EA63E1">
              <w:rPr>
                <w:rStyle w:val="Hipervnculo"/>
                <w:noProof/>
              </w:rPr>
              <w:t>Elaboración del Informe</w:t>
            </w:r>
            <w:r w:rsidR="00792387">
              <w:rPr>
                <w:noProof/>
                <w:webHidden/>
              </w:rPr>
              <w:tab/>
            </w:r>
            <w:r w:rsidR="00792387">
              <w:rPr>
                <w:noProof/>
                <w:webHidden/>
              </w:rPr>
              <w:fldChar w:fldCharType="begin"/>
            </w:r>
            <w:r w:rsidR="00792387">
              <w:rPr>
                <w:noProof/>
                <w:webHidden/>
              </w:rPr>
              <w:instrText xml:space="preserve"> PAGEREF _Toc158024981 \h </w:instrText>
            </w:r>
            <w:r w:rsidR="00792387">
              <w:rPr>
                <w:noProof/>
                <w:webHidden/>
              </w:rPr>
            </w:r>
            <w:r w:rsidR="00792387">
              <w:rPr>
                <w:noProof/>
                <w:webHidden/>
              </w:rPr>
              <w:fldChar w:fldCharType="separate"/>
            </w:r>
            <w:r>
              <w:rPr>
                <w:noProof/>
                <w:webHidden/>
              </w:rPr>
              <w:t>4</w:t>
            </w:r>
            <w:r w:rsidR="00792387">
              <w:rPr>
                <w:noProof/>
                <w:webHidden/>
              </w:rPr>
              <w:fldChar w:fldCharType="end"/>
            </w:r>
          </w:hyperlink>
        </w:p>
        <w:p w:rsidR="00792387" w:rsidRDefault="00515D1B" w:rsidP="00792387">
          <w:pPr>
            <w:pStyle w:val="TDC2"/>
            <w:tabs>
              <w:tab w:val="left" w:pos="660"/>
              <w:tab w:val="right" w:leader="dot" w:pos="8828"/>
            </w:tabs>
            <w:rPr>
              <w:rFonts w:eastAsiaTheme="minorEastAsia"/>
              <w:noProof/>
              <w:sz w:val="22"/>
              <w:szCs w:val="22"/>
              <w:lang w:eastAsia="es-GT"/>
            </w:rPr>
          </w:pPr>
          <w:hyperlink w:anchor="_Toc158024982" w:history="1">
            <w:r w:rsidR="00792387" w:rsidRPr="00EA63E1">
              <w:rPr>
                <w:rStyle w:val="Hipervnculo"/>
                <w:rFonts w:cs="Arial"/>
                <w:noProof/>
              </w:rPr>
              <w:t>1.</w:t>
            </w:r>
            <w:r w:rsidR="00792387">
              <w:rPr>
                <w:rFonts w:eastAsiaTheme="minorEastAsia"/>
                <w:noProof/>
                <w:sz w:val="22"/>
                <w:szCs w:val="22"/>
                <w:lang w:eastAsia="es-GT"/>
              </w:rPr>
              <w:tab/>
            </w:r>
            <w:r w:rsidR="00792387" w:rsidRPr="00EA63E1">
              <w:rPr>
                <w:rStyle w:val="Hipervnculo"/>
                <w:rFonts w:cs="Arial"/>
                <w:noProof/>
              </w:rPr>
              <w:t>Descripción de la recopilación de los datos</w:t>
            </w:r>
            <w:r w:rsidR="00792387">
              <w:rPr>
                <w:noProof/>
                <w:webHidden/>
              </w:rPr>
              <w:tab/>
            </w:r>
            <w:r w:rsidR="00792387">
              <w:rPr>
                <w:noProof/>
                <w:webHidden/>
              </w:rPr>
              <w:fldChar w:fldCharType="begin"/>
            </w:r>
            <w:r w:rsidR="00792387">
              <w:rPr>
                <w:noProof/>
                <w:webHidden/>
              </w:rPr>
              <w:instrText xml:space="preserve"> PAGEREF _Toc158024982 \h </w:instrText>
            </w:r>
            <w:r w:rsidR="00792387">
              <w:rPr>
                <w:noProof/>
                <w:webHidden/>
              </w:rPr>
            </w:r>
            <w:r w:rsidR="00792387">
              <w:rPr>
                <w:noProof/>
                <w:webHidden/>
              </w:rPr>
              <w:fldChar w:fldCharType="separate"/>
            </w:r>
            <w:r>
              <w:rPr>
                <w:noProof/>
                <w:webHidden/>
              </w:rPr>
              <w:t>4</w:t>
            </w:r>
            <w:r w:rsidR="00792387">
              <w:rPr>
                <w:noProof/>
                <w:webHidden/>
              </w:rPr>
              <w:fldChar w:fldCharType="end"/>
            </w:r>
          </w:hyperlink>
        </w:p>
        <w:p w:rsidR="006A2468" w:rsidRDefault="006A2468" w:rsidP="00792387">
          <w:pPr>
            <w:pStyle w:val="TDC2"/>
            <w:tabs>
              <w:tab w:val="right" w:leader="dot" w:pos="8828"/>
            </w:tabs>
            <w:rPr>
              <w:rStyle w:val="Hipervnculo"/>
              <w:noProof/>
            </w:rPr>
          </w:pPr>
        </w:p>
        <w:p w:rsidR="00792387" w:rsidRDefault="00515D1B" w:rsidP="00792387">
          <w:pPr>
            <w:pStyle w:val="TDC2"/>
            <w:tabs>
              <w:tab w:val="right" w:leader="dot" w:pos="8828"/>
            </w:tabs>
            <w:rPr>
              <w:rFonts w:eastAsiaTheme="minorEastAsia"/>
              <w:noProof/>
              <w:sz w:val="22"/>
              <w:szCs w:val="22"/>
              <w:lang w:eastAsia="es-GT"/>
            </w:rPr>
          </w:pPr>
          <w:hyperlink w:anchor="_Toc158024983" w:history="1">
            <w:r w:rsidR="00792387" w:rsidRPr="00EA63E1">
              <w:rPr>
                <w:rStyle w:val="Hipervnculo"/>
                <w:noProof/>
              </w:rPr>
              <w:t>Imagen 1: Formato de la boleta digital</w:t>
            </w:r>
            <w:r w:rsidR="00792387">
              <w:rPr>
                <w:noProof/>
                <w:webHidden/>
              </w:rPr>
              <w:tab/>
            </w:r>
            <w:r w:rsidR="00792387">
              <w:rPr>
                <w:noProof/>
                <w:webHidden/>
              </w:rPr>
              <w:fldChar w:fldCharType="begin"/>
            </w:r>
            <w:r w:rsidR="00792387">
              <w:rPr>
                <w:noProof/>
                <w:webHidden/>
              </w:rPr>
              <w:instrText xml:space="preserve"> PAGEREF _Toc158024983 \h </w:instrText>
            </w:r>
            <w:r w:rsidR="00792387">
              <w:rPr>
                <w:noProof/>
                <w:webHidden/>
              </w:rPr>
            </w:r>
            <w:r w:rsidR="00792387">
              <w:rPr>
                <w:noProof/>
                <w:webHidden/>
              </w:rPr>
              <w:fldChar w:fldCharType="separate"/>
            </w:r>
            <w:r>
              <w:rPr>
                <w:noProof/>
                <w:webHidden/>
              </w:rPr>
              <w:t>4</w:t>
            </w:r>
            <w:r w:rsidR="00792387">
              <w:rPr>
                <w:noProof/>
                <w:webHidden/>
              </w:rPr>
              <w:fldChar w:fldCharType="end"/>
            </w:r>
          </w:hyperlink>
        </w:p>
        <w:p w:rsidR="00216F9C" w:rsidRDefault="00216F9C" w:rsidP="00792387">
          <w:pPr>
            <w:pStyle w:val="TDC2"/>
            <w:tabs>
              <w:tab w:val="left" w:pos="660"/>
              <w:tab w:val="right" w:leader="dot" w:pos="8828"/>
            </w:tabs>
            <w:rPr>
              <w:rStyle w:val="Hipervnculo"/>
              <w:rFonts w:cs="Arial"/>
              <w:noProof/>
            </w:rPr>
          </w:pPr>
        </w:p>
        <w:p w:rsidR="00792387" w:rsidRDefault="00515D1B" w:rsidP="00792387">
          <w:pPr>
            <w:pStyle w:val="TDC2"/>
            <w:tabs>
              <w:tab w:val="left" w:pos="660"/>
              <w:tab w:val="right" w:leader="dot" w:pos="8828"/>
            </w:tabs>
            <w:rPr>
              <w:rFonts w:eastAsiaTheme="minorEastAsia"/>
              <w:noProof/>
              <w:sz w:val="22"/>
              <w:szCs w:val="22"/>
              <w:lang w:eastAsia="es-GT"/>
            </w:rPr>
          </w:pPr>
          <w:hyperlink w:anchor="_Toc158024984" w:history="1">
            <w:r w:rsidR="00792387" w:rsidRPr="00EA63E1">
              <w:rPr>
                <w:rStyle w:val="Hipervnculo"/>
                <w:rFonts w:cs="Arial"/>
                <w:noProof/>
              </w:rPr>
              <w:t>2.</w:t>
            </w:r>
            <w:r w:rsidR="00792387">
              <w:rPr>
                <w:rFonts w:eastAsiaTheme="minorEastAsia"/>
                <w:noProof/>
                <w:sz w:val="22"/>
                <w:szCs w:val="22"/>
                <w:lang w:eastAsia="es-GT"/>
              </w:rPr>
              <w:tab/>
            </w:r>
            <w:r w:rsidR="00792387" w:rsidRPr="00EA63E1">
              <w:rPr>
                <w:rStyle w:val="Hipervnculo"/>
                <w:rFonts w:cs="Arial"/>
                <w:noProof/>
              </w:rPr>
              <w:t>Análisis de datos</w:t>
            </w:r>
            <w:r w:rsidR="00792387">
              <w:rPr>
                <w:noProof/>
                <w:webHidden/>
              </w:rPr>
              <w:tab/>
            </w:r>
            <w:r w:rsidR="00792387">
              <w:rPr>
                <w:noProof/>
                <w:webHidden/>
              </w:rPr>
              <w:fldChar w:fldCharType="begin"/>
            </w:r>
            <w:r w:rsidR="00792387">
              <w:rPr>
                <w:noProof/>
                <w:webHidden/>
              </w:rPr>
              <w:instrText xml:space="preserve"> PAGEREF _Toc158024984 \h </w:instrText>
            </w:r>
            <w:r w:rsidR="00792387">
              <w:rPr>
                <w:noProof/>
                <w:webHidden/>
              </w:rPr>
            </w:r>
            <w:r w:rsidR="00792387">
              <w:rPr>
                <w:noProof/>
                <w:webHidden/>
              </w:rPr>
              <w:fldChar w:fldCharType="separate"/>
            </w:r>
            <w:r>
              <w:rPr>
                <w:noProof/>
                <w:webHidden/>
              </w:rPr>
              <w:t>6</w:t>
            </w:r>
            <w:r w:rsidR="00792387">
              <w:rPr>
                <w:noProof/>
                <w:webHidden/>
              </w:rPr>
              <w:fldChar w:fldCharType="end"/>
            </w:r>
          </w:hyperlink>
        </w:p>
        <w:p w:rsidR="00216F9C" w:rsidRDefault="00216F9C" w:rsidP="00792387">
          <w:pPr>
            <w:pStyle w:val="TDC2"/>
            <w:tabs>
              <w:tab w:val="right" w:leader="dot" w:pos="8828"/>
            </w:tabs>
            <w:rPr>
              <w:rStyle w:val="Hipervnculo"/>
              <w:rFonts w:cs="Arial"/>
              <w:noProof/>
            </w:rPr>
          </w:pPr>
        </w:p>
        <w:p w:rsidR="00792387" w:rsidRDefault="00515D1B" w:rsidP="00792387">
          <w:pPr>
            <w:pStyle w:val="TDC2"/>
            <w:tabs>
              <w:tab w:val="right" w:leader="dot" w:pos="8828"/>
            </w:tabs>
            <w:rPr>
              <w:rFonts w:eastAsiaTheme="minorEastAsia"/>
              <w:noProof/>
              <w:sz w:val="22"/>
              <w:szCs w:val="22"/>
              <w:lang w:eastAsia="es-GT"/>
            </w:rPr>
          </w:pPr>
          <w:hyperlink w:anchor="_Toc158024985" w:history="1">
            <w:r w:rsidR="00792387" w:rsidRPr="00EA63E1">
              <w:rPr>
                <w:rStyle w:val="Hipervnculo"/>
                <w:rFonts w:cs="Arial"/>
                <w:noProof/>
              </w:rPr>
              <w:t>Cuadro 1: Beneficiarios del servicio postal, según pertenencia étnica.</w:t>
            </w:r>
            <w:r w:rsidR="00792387">
              <w:rPr>
                <w:noProof/>
                <w:webHidden/>
              </w:rPr>
              <w:tab/>
            </w:r>
            <w:r w:rsidR="00792387">
              <w:rPr>
                <w:noProof/>
                <w:webHidden/>
              </w:rPr>
              <w:fldChar w:fldCharType="begin"/>
            </w:r>
            <w:r w:rsidR="00792387">
              <w:rPr>
                <w:noProof/>
                <w:webHidden/>
              </w:rPr>
              <w:instrText xml:space="preserve"> PAGEREF _Toc158024985 \h </w:instrText>
            </w:r>
            <w:r w:rsidR="00792387">
              <w:rPr>
                <w:noProof/>
                <w:webHidden/>
              </w:rPr>
            </w:r>
            <w:r w:rsidR="00792387">
              <w:rPr>
                <w:noProof/>
                <w:webHidden/>
              </w:rPr>
              <w:fldChar w:fldCharType="separate"/>
            </w:r>
            <w:r>
              <w:rPr>
                <w:noProof/>
                <w:webHidden/>
              </w:rPr>
              <w:t>6</w:t>
            </w:r>
            <w:r w:rsidR="00792387">
              <w:rPr>
                <w:noProof/>
                <w:webHidden/>
              </w:rPr>
              <w:fldChar w:fldCharType="end"/>
            </w:r>
          </w:hyperlink>
        </w:p>
        <w:p w:rsidR="00216F9C" w:rsidRDefault="00216F9C" w:rsidP="00792387">
          <w:pPr>
            <w:pStyle w:val="TDC2"/>
            <w:tabs>
              <w:tab w:val="right" w:leader="dot" w:pos="8828"/>
            </w:tabs>
            <w:rPr>
              <w:rStyle w:val="Hipervnculo"/>
              <w:rFonts w:cs="Arial"/>
              <w:noProof/>
            </w:rPr>
          </w:pPr>
        </w:p>
        <w:p w:rsidR="00792387" w:rsidRDefault="00515D1B" w:rsidP="00792387">
          <w:pPr>
            <w:pStyle w:val="TDC2"/>
            <w:tabs>
              <w:tab w:val="right" w:leader="dot" w:pos="8828"/>
            </w:tabs>
            <w:rPr>
              <w:rFonts w:eastAsiaTheme="minorEastAsia"/>
              <w:noProof/>
              <w:sz w:val="22"/>
              <w:szCs w:val="22"/>
              <w:lang w:eastAsia="es-GT"/>
            </w:rPr>
          </w:pPr>
          <w:hyperlink w:anchor="_Toc158024986" w:history="1">
            <w:r w:rsidR="00792387" w:rsidRPr="00EA63E1">
              <w:rPr>
                <w:rStyle w:val="Hipervnculo"/>
                <w:rFonts w:cs="Arial"/>
                <w:noProof/>
              </w:rPr>
              <w:t>Gráfica 1: Beneficiarios del servicio postal según pertenencia étnica</w:t>
            </w:r>
            <w:r w:rsidR="00792387">
              <w:rPr>
                <w:noProof/>
                <w:webHidden/>
              </w:rPr>
              <w:tab/>
            </w:r>
            <w:r w:rsidR="00792387">
              <w:rPr>
                <w:noProof/>
                <w:webHidden/>
              </w:rPr>
              <w:fldChar w:fldCharType="begin"/>
            </w:r>
            <w:r w:rsidR="00792387">
              <w:rPr>
                <w:noProof/>
                <w:webHidden/>
              </w:rPr>
              <w:instrText xml:space="preserve"> PAGEREF _Toc158024986 \h </w:instrText>
            </w:r>
            <w:r w:rsidR="00792387">
              <w:rPr>
                <w:noProof/>
                <w:webHidden/>
              </w:rPr>
            </w:r>
            <w:r w:rsidR="00792387">
              <w:rPr>
                <w:noProof/>
                <w:webHidden/>
              </w:rPr>
              <w:fldChar w:fldCharType="separate"/>
            </w:r>
            <w:r>
              <w:rPr>
                <w:noProof/>
                <w:webHidden/>
              </w:rPr>
              <w:t>8</w:t>
            </w:r>
            <w:r w:rsidR="00792387">
              <w:rPr>
                <w:noProof/>
                <w:webHidden/>
              </w:rPr>
              <w:fldChar w:fldCharType="end"/>
            </w:r>
          </w:hyperlink>
        </w:p>
        <w:p w:rsidR="00216F9C" w:rsidRDefault="00216F9C" w:rsidP="00792387">
          <w:pPr>
            <w:pStyle w:val="TDC2"/>
            <w:tabs>
              <w:tab w:val="right" w:leader="dot" w:pos="8828"/>
            </w:tabs>
            <w:rPr>
              <w:rStyle w:val="Hipervnculo"/>
              <w:rFonts w:cs="Arial"/>
              <w:noProof/>
            </w:rPr>
          </w:pPr>
        </w:p>
        <w:p w:rsidR="00792387" w:rsidRDefault="00515D1B" w:rsidP="00792387">
          <w:pPr>
            <w:pStyle w:val="TDC2"/>
            <w:tabs>
              <w:tab w:val="right" w:leader="dot" w:pos="8828"/>
            </w:tabs>
            <w:rPr>
              <w:rFonts w:eastAsiaTheme="minorEastAsia"/>
              <w:noProof/>
              <w:sz w:val="22"/>
              <w:szCs w:val="22"/>
              <w:lang w:eastAsia="es-GT"/>
            </w:rPr>
          </w:pPr>
          <w:hyperlink w:anchor="_Toc158024987" w:history="1">
            <w:r w:rsidR="00792387" w:rsidRPr="00EA63E1">
              <w:rPr>
                <w:rStyle w:val="Hipervnculo"/>
                <w:rFonts w:cs="Arial"/>
                <w:noProof/>
              </w:rPr>
              <w:t>Gráfica 2: Pueblo al que pertenecen los usuarios del servicio Postal, mes de Enero del 2024.</w:t>
            </w:r>
            <w:r w:rsidR="00792387">
              <w:rPr>
                <w:noProof/>
                <w:webHidden/>
              </w:rPr>
              <w:tab/>
            </w:r>
            <w:r w:rsidR="00792387">
              <w:rPr>
                <w:noProof/>
                <w:webHidden/>
              </w:rPr>
              <w:fldChar w:fldCharType="begin"/>
            </w:r>
            <w:r w:rsidR="00792387">
              <w:rPr>
                <w:noProof/>
                <w:webHidden/>
              </w:rPr>
              <w:instrText xml:space="preserve"> PAGEREF _Toc158024987 \h </w:instrText>
            </w:r>
            <w:r w:rsidR="00792387">
              <w:rPr>
                <w:noProof/>
                <w:webHidden/>
              </w:rPr>
            </w:r>
            <w:r w:rsidR="00792387">
              <w:rPr>
                <w:noProof/>
                <w:webHidden/>
              </w:rPr>
              <w:fldChar w:fldCharType="separate"/>
            </w:r>
            <w:r>
              <w:rPr>
                <w:noProof/>
                <w:webHidden/>
              </w:rPr>
              <w:t>8</w:t>
            </w:r>
            <w:r w:rsidR="00792387">
              <w:rPr>
                <w:noProof/>
                <w:webHidden/>
              </w:rPr>
              <w:fldChar w:fldCharType="end"/>
            </w:r>
          </w:hyperlink>
        </w:p>
        <w:p w:rsidR="00216F9C" w:rsidRDefault="00216F9C" w:rsidP="00792387">
          <w:pPr>
            <w:pStyle w:val="TDC2"/>
            <w:tabs>
              <w:tab w:val="right" w:leader="dot" w:pos="8828"/>
            </w:tabs>
            <w:rPr>
              <w:rStyle w:val="Hipervnculo"/>
              <w:rFonts w:cs="Arial"/>
              <w:noProof/>
            </w:rPr>
          </w:pPr>
        </w:p>
        <w:p w:rsidR="00792387" w:rsidRDefault="00515D1B" w:rsidP="00792387">
          <w:pPr>
            <w:pStyle w:val="TDC2"/>
            <w:tabs>
              <w:tab w:val="right" w:leader="dot" w:pos="8828"/>
            </w:tabs>
            <w:rPr>
              <w:rFonts w:eastAsiaTheme="minorEastAsia"/>
              <w:noProof/>
              <w:sz w:val="22"/>
              <w:szCs w:val="22"/>
              <w:lang w:eastAsia="es-GT"/>
            </w:rPr>
          </w:pPr>
          <w:hyperlink w:anchor="_Toc158024988" w:history="1">
            <w:r w:rsidR="00792387" w:rsidRPr="00EA63E1">
              <w:rPr>
                <w:rStyle w:val="Hipervnculo"/>
                <w:rFonts w:cs="Arial"/>
                <w:noProof/>
              </w:rPr>
              <w:t>Gráfica 3: Comunidad lingüística de los beneficiarios del servicio postal del mes de Enero del 2024.</w:t>
            </w:r>
            <w:r w:rsidR="00792387">
              <w:rPr>
                <w:noProof/>
                <w:webHidden/>
              </w:rPr>
              <w:tab/>
            </w:r>
            <w:r w:rsidR="00792387">
              <w:rPr>
                <w:noProof/>
                <w:webHidden/>
              </w:rPr>
              <w:fldChar w:fldCharType="begin"/>
            </w:r>
            <w:r w:rsidR="00792387">
              <w:rPr>
                <w:noProof/>
                <w:webHidden/>
              </w:rPr>
              <w:instrText xml:space="preserve"> PAGEREF _Toc158024988 \h </w:instrText>
            </w:r>
            <w:r w:rsidR="00792387">
              <w:rPr>
                <w:noProof/>
                <w:webHidden/>
              </w:rPr>
            </w:r>
            <w:r w:rsidR="00792387">
              <w:rPr>
                <w:noProof/>
                <w:webHidden/>
              </w:rPr>
              <w:fldChar w:fldCharType="separate"/>
            </w:r>
            <w:r>
              <w:rPr>
                <w:noProof/>
                <w:webHidden/>
              </w:rPr>
              <w:t>9</w:t>
            </w:r>
            <w:r w:rsidR="00792387">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1" w:name="_Toc158024980"/>
      <w:r w:rsidRPr="00216A24">
        <w:rPr>
          <w:b/>
        </w:rPr>
        <w:t>Antecedentes</w:t>
      </w:r>
      <w:bookmarkEnd w:id="1"/>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La Ley de Idiomas Nacionales, Decreto 19-2003 del Congreso de la República de Guatemala, según su artículo 4, tiene como objeto regular lo relativo al reconocimiento, respeto, promoción, desarrollo y utilización de los idiomas de los pueblos Mayas, Garífuna y Xin</w:t>
      </w:r>
      <w:r>
        <w:rPr>
          <w:rFonts w:ascii="Arial" w:hAnsi="Arial" w:cs="Arial"/>
        </w:rPr>
        <w:t>k</w:t>
      </w:r>
      <w:r w:rsidRPr="009F5815">
        <w:rPr>
          <w:rFonts w:ascii="Arial" w:hAnsi="Arial" w:cs="Arial"/>
        </w:rPr>
        <w:t xml:space="preserve">a,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proofErr w:type="gramStart"/>
      <w:r>
        <w:rPr>
          <w:rFonts w:ascii="Arial" w:hAnsi="Arial" w:cs="Arial"/>
        </w:rPr>
        <w:t>M</w:t>
      </w:r>
      <w:r w:rsidRPr="009F5815">
        <w:rPr>
          <w:rFonts w:ascii="Arial" w:hAnsi="Arial" w:cs="Arial"/>
        </w:rPr>
        <w:t>ayas</w:t>
      </w:r>
      <w:proofErr w:type="gramEnd"/>
      <w:r w:rsidRPr="009F5815">
        <w:rPr>
          <w:rFonts w:ascii="Arial" w:hAnsi="Arial" w:cs="Arial"/>
        </w:rPr>
        <w:t>, Garífuna y Xin</w:t>
      </w:r>
      <w:r>
        <w:rPr>
          <w:rFonts w:ascii="Arial" w:hAnsi="Arial" w:cs="Arial"/>
        </w:rPr>
        <w:t>k</w:t>
      </w:r>
      <w:r w:rsidRPr="009F5815">
        <w:rPr>
          <w:rFonts w:ascii="Arial" w:hAnsi="Arial" w:cs="Arial"/>
        </w:rPr>
        <w:t>a,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2" w:name="_Toc158024981"/>
      <w:r w:rsidRPr="00216A24">
        <w:rPr>
          <w:b/>
        </w:rPr>
        <w:lastRenderedPageBreak/>
        <w:t>Elaboración del Informe</w:t>
      </w:r>
      <w:bookmarkEnd w:id="2"/>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3" w:name="_Toc158024982"/>
      <w:r w:rsidRPr="000E4374">
        <w:rPr>
          <w:rFonts w:cs="Arial"/>
        </w:rPr>
        <w:t>Descripción de la recopilación de los datos</w:t>
      </w:r>
      <w:bookmarkEnd w:id="3"/>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4" w:name="_Toc158024983"/>
      <w:r w:rsidRPr="00DA068F">
        <w:t>Imagen 1: Formato de la boleta digital</w:t>
      </w:r>
      <w:bookmarkEnd w:id="4"/>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186D913D" wp14:editId="3E699FC3">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anchor distT="0" distB="0" distL="114300" distR="114300" simplePos="0" relativeHeight="251659264" behindDoc="0" locked="0" layoutInCell="1" allowOverlap="1" wp14:anchorId="7522C411" wp14:editId="51C8C446">
            <wp:simplePos x="0" y="0"/>
            <wp:positionH relativeFrom="page">
              <wp:posOffset>2981325</wp:posOffset>
            </wp:positionH>
            <wp:positionV relativeFrom="paragraph">
              <wp:posOffset>168910</wp:posOffset>
            </wp:positionV>
            <wp:extent cx="2724150" cy="2019300"/>
            <wp:effectExtent l="19050" t="19050" r="19050" b="190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r>
        <w:rPr>
          <w:rFonts w:ascii="Arial" w:hAnsi="Arial" w:cs="Arial"/>
          <w:noProof/>
          <w:lang w:eastAsia="es-GT"/>
        </w:rPr>
        <w:drawing>
          <wp:inline distT="0" distB="0" distL="0" distR="0" wp14:anchorId="1E1E9443" wp14:editId="162A9839">
            <wp:extent cx="5720583" cy="5124450"/>
            <wp:effectExtent l="19050" t="19050" r="1397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585" cy="5155805"/>
                    </a:xfrm>
                    <a:prstGeom prst="rect">
                      <a:avLst/>
                    </a:prstGeom>
                    <a:noFill/>
                    <a:ln>
                      <a:solidFill>
                        <a:schemeClr val="bg1">
                          <a:lumMod val="75000"/>
                          <a:alpha val="86000"/>
                        </a:schemeClr>
                      </a:solidFill>
                    </a:ln>
                  </pic:spPr>
                </pic:pic>
              </a:graphicData>
            </a:graphic>
          </wp:inline>
        </w:drawing>
      </w:r>
    </w:p>
    <w:p w:rsidR="00216A24" w:rsidRDefault="00216A24"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5" w:name="_Toc158024984"/>
      <w:r w:rsidRPr="00330C1F">
        <w:rPr>
          <w:rFonts w:cs="Arial"/>
        </w:rPr>
        <w:t>Análisis de datos</w:t>
      </w:r>
      <w:bookmarkEnd w:id="5"/>
    </w:p>
    <w:p w:rsidR="00792387" w:rsidRPr="00FD796C" w:rsidRDefault="00792387" w:rsidP="00792387"/>
    <w:p w:rsidR="00792387" w:rsidRDefault="00792387" w:rsidP="00792387">
      <w:pPr>
        <w:pStyle w:val="Prrafodelista"/>
        <w:spacing w:line="360" w:lineRule="auto"/>
        <w:ind w:left="567"/>
        <w:jc w:val="both"/>
        <w:rPr>
          <w:rFonts w:ascii="Arial" w:hAnsi="Arial" w:cs="Arial"/>
        </w:rPr>
      </w:pPr>
      <w:r>
        <w:rPr>
          <w:rFonts w:ascii="Arial" w:hAnsi="Arial" w:cs="Arial"/>
        </w:rPr>
        <w:t>A c</w:t>
      </w:r>
      <w:r w:rsidRPr="003964E4">
        <w:rPr>
          <w:rFonts w:ascii="Arial" w:hAnsi="Arial" w:cs="Arial"/>
        </w:rPr>
        <w:t xml:space="preserve">ontinuación </w:t>
      </w:r>
      <w:r>
        <w:rPr>
          <w:rFonts w:ascii="Arial" w:hAnsi="Arial" w:cs="Arial"/>
        </w:rPr>
        <w:t xml:space="preserve">se </w:t>
      </w:r>
      <w:r w:rsidRPr="003964E4">
        <w:rPr>
          <w:rFonts w:ascii="Arial" w:hAnsi="Arial" w:cs="Arial"/>
        </w:rPr>
        <w:t>presenta</w:t>
      </w:r>
      <w:r>
        <w:rPr>
          <w:rFonts w:ascii="Arial" w:hAnsi="Arial" w:cs="Arial"/>
        </w:rPr>
        <w:t>n</w:t>
      </w:r>
      <w:r w:rsidRPr="003964E4">
        <w:rPr>
          <w:rFonts w:ascii="Arial" w:hAnsi="Arial" w:cs="Arial"/>
        </w:rPr>
        <w:t xml:space="preserve"> los beneficiarios del servicio post</w:t>
      </w:r>
      <w:r>
        <w:rPr>
          <w:rFonts w:ascii="Arial" w:hAnsi="Arial" w:cs="Arial"/>
        </w:rPr>
        <w:t xml:space="preserve">al correspondiente al mes de Enero </w:t>
      </w:r>
      <w:r w:rsidRPr="003964E4">
        <w:rPr>
          <w:rFonts w:ascii="Arial" w:hAnsi="Arial" w:cs="Arial"/>
        </w:rPr>
        <w:t xml:space="preserve">del </w:t>
      </w:r>
      <w:r>
        <w:rPr>
          <w:rFonts w:ascii="Arial" w:hAnsi="Arial" w:cs="Arial"/>
        </w:rPr>
        <w:t xml:space="preserve">año </w:t>
      </w:r>
      <w:r w:rsidRPr="003964E4">
        <w:rPr>
          <w:rFonts w:ascii="Arial" w:hAnsi="Arial" w:cs="Arial"/>
        </w:rPr>
        <w:t>2,02</w:t>
      </w:r>
      <w:r>
        <w:rPr>
          <w:rFonts w:ascii="Arial" w:hAnsi="Arial" w:cs="Arial"/>
        </w:rPr>
        <w:t>4.</w:t>
      </w:r>
    </w:p>
    <w:p w:rsidR="00792387" w:rsidRDefault="00792387" w:rsidP="00792387">
      <w:pPr>
        <w:pStyle w:val="Prrafodelista"/>
        <w:spacing w:line="360" w:lineRule="auto"/>
        <w:ind w:left="567"/>
        <w:jc w:val="both"/>
        <w:rPr>
          <w:rFonts w:ascii="Arial" w:hAnsi="Arial" w:cs="Arial"/>
        </w:rPr>
      </w:pPr>
    </w:p>
    <w:p w:rsidR="00792387" w:rsidRDefault="00792387" w:rsidP="00792387">
      <w:pPr>
        <w:pStyle w:val="Prrafodelista"/>
        <w:spacing w:line="360" w:lineRule="auto"/>
        <w:ind w:left="567"/>
        <w:jc w:val="both"/>
        <w:rPr>
          <w:rFonts w:ascii="Arial" w:hAnsi="Arial" w:cs="Arial"/>
        </w:rPr>
      </w:pPr>
      <w:r w:rsidRPr="001D3EEB">
        <w:rPr>
          <w:rFonts w:ascii="Arial" w:hAnsi="Arial" w:cs="Arial"/>
        </w:rPr>
        <w:t>En total se entregaron</w:t>
      </w:r>
      <w:r>
        <w:rPr>
          <w:rFonts w:ascii="Arial" w:hAnsi="Arial" w:cs="Arial"/>
        </w:rPr>
        <w:t xml:space="preserve"> 44,122 </w:t>
      </w:r>
      <w:r w:rsidRPr="001D3EEB">
        <w:rPr>
          <w:rFonts w:ascii="Arial" w:hAnsi="Arial" w:cs="Arial"/>
        </w:rPr>
        <w:t>piezas postales en toda la república de las cuales el</w:t>
      </w:r>
      <w:r>
        <w:rPr>
          <w:rFonts w:ascii="Arial" w:hAnsi="Arial" w:cs="Arial"/>
        </w:rPr>
        <w:t xml:space="preserve"> 58.45%</w:t>
      </w:r>
      <w:r w:rsidRPr="00A71548">
        <w:rPr>
          <w:rFonts w:ascii="Arial" w:hAnsi="Arial" w:cs="Arial"/>
          <w:color w:val="FF0000"/>
        </w:rPr>
        <w:t xml:space="preserve"> </w:t>
      </w:r>
      <w:r w:rsidRPr="001D3EEB">
        <w:rPr>
          <w:rFonts w:ascii="Arial" w:hAnsi="Arial" w:cs="Arial"/>
        </w:rPr>
        <w:t xml:space="preserve">se entregó en la </w:t>
      </w:r>
      <w:r>
        <w:rPr>
          <w:rFonts w:ascii="Arial" w:hAnsi="Arial" w:cs="Arial"/>
        </w:rPr>
        <w:t>Región Metropolitana y el 41.55% en el interior del país. El 62.00% de los beneficiarios fueron hombre y el 38% mujeres.</w:t>
      </w:r>
    </w:p>
    <w:p w:rsidR="00792387" w:rsidRDefault="00792387" w:rsidP="00792387">
      <w:pPr>
        <w:pStyle w:val="Prrafodelista"/>
        <w:spacing w:line="360" w:lineRule="auto"/>
        <w:ind w:left="567"/>
        <w:jc w:val="both"/>
        <w:rPr>
          <w:rFonts w:ascii="Arial" w:hAnsi="Arial" w:cs="Arial"/>
        </w:rPr>
      </w:pPr>
    </w:p>
    <w:p w:rsidR="00792387" w:rsidRDefault="00792387" w:rsidP="00792387">
      <w:pPr>
        <w:pStyle w:val="Prrafodelista"/>
        <w:spacing w:line="360" w:lineRule="auto"/>
        <w:ind w:left="567"/>
        <w:jc w:val="both"/>
        <w:rPr>
          <w:rFonts w:ascii="Arial" w:hAnsi="Arial" w:cs="Arial"/>
        </w:rPr>
      </w:pPr>
      <w:r w:rsidRPr="00747641">
        <w:rPr>
          <w:rFonts w:ascii="Arial" w:hAnsi="Arial" w:cs="Arial"/>
        </w:rPr>
        <w:t>El 1</w:t>
      </w:r>
      <w:r>
        <w:rPr>
          <w:rFonts w:ascii="Arial" w:hAnsi="Arial" w:cs="Arial"/>
        </w:rPr>
        <w:t>7</w:t>
      </w:r>
      <w:r w:rsidRPr="00747641">
        <w:rPr>
          <w:rFonts w:ascii="Arial" w:hAnsi="Arial" w:cs="Arial"/>
        </w:rPr>
        <w:t>.</w:t>
      </w:r>
      <w:r>
        <w:rPr>
          <w:rFonts w:ascii="Arial" w:hAnsi="Arial" w:cs="Arial"/>
        </w:rPr>
        <w:t>01</w:t>
      </w:r>
      <w:r w:rsidRPr="00747641">
        <w:rPr>
          <w:rFonts w:ascii="Arial" w:hAnsi="Arial" w:cs="Arial"/>
        </w:rPr>
        <w:t>% de los beneficiarios pertenecen al pueblo Maya, el 0.1</w:t>
      </w:r>
      <w:r>
        <w:rPr>
          <w:rFonts w:ascii="Arial" w:hAnsi="Arial" w:cs="Arial"/>
        </w:rPr>
        <w:t>7</w:t>
      </w:r>
      <w:r w:rsidRPr="00747641">
        <w:rPr>
          <w:rFonts w:ascii="Arial" w:hAnsi="Arial" w:cs="Arial"/>
        </w:rPr>
        <w:t xml:space="preserve">% al pueblo Garífuna, el </w:t>
      </w:r>
      <w:r>
        <w:rPr>
          <w:rFonts w:ascii="Arial" w:hAnsi="Arial" w:cs="Arial"/>
        </w:rPr>
        <w:t>1.14</w:t>
      </w:r>
      <w:r w:rsidRPr="00747641">
        <w:rPr>
          <w:rFonts w:ascii="Arial" w:hAnsi="Arial" w:cs="Arial"/>
        </w:rPr>
        <w:t>% al pueblo Xinka, y el 8</w:t>
      </w:r>
      <w:r>
        <w:rPr>
          <w:rFonts w:ascii="Arial" w:hAnsi="Arial" w:cs="Arial"/>
        </w:rPr>
        <w:t>1.68</w:t>
      </w:r>
      <w:r w:rsidRPr="00747641">
        <w:rPr>
          <w:rFonts w:ascii="Arial" w:hAnsi="Arial" w:cs="Arial"/>
        </w:rPr>
        <w:t xml:space="preserve">% a la población ladina; </w:t>
      </w:r>
      <w:r w:rsidRPr="00134070">
        <w:rPr>
          <w:rFonts w:ascii="Arial" w:hAnsi="Arial" w:cs="Arial"/>
        </w:rPr>
        <w:t>la mayoría de la población maya beneficiada por el servicio postal se atendió en la Agencia Central, Quetzaltenango, Antigua Guatemala, Huehuetenango, Villa Canales, Amatitlán, Chimaltenango y Cobán; tal como se presenta en el cuadro</w:t>
      </w:r>
      <w:r>
        <w:rPr>
          <w:rFonts w:ascii="Arial" w:hAnsi="Arial" w:cs="Arial"/>
        </w:rPr>
        <w:t xml:space="preserve"> 1.</w:t>
      </w:r>
    </w:p>
    <w:p w:rsidR="00792387" w:rsidRDefault="00792387" w:rsidP="00792387">
      <w:pPr>
        <w:pStyle w:val="Prrafodelista"/>
        <w:spacing w:line="360" w:lineRule="auto"/>
        <w:ind w:left="567"/>
        <w:jc w:val="both"/>
        <w:rPr>
          <w:rFonts w:ascii="Arial" w:hAnsi="Arial" w:cs="Arial"/>
        </w:rPr>
      </w:pPr>
    </w:p>
    <w:p w:rsidR="00792387" w:rsidRDefault="00792387" w:rsidP="00792387">
      <w:pPr>
        <w:pStyle w:val="Ttulo2"/>
        <w:jc w:val="center"/>
        <w:rPr>
          <w:rFonts w:cs="Arial"/>
          <w:sz w:val="24"/>
          <w:szCs w:val="24"/>
        </w:rPr>
      </w:pPr>
      <w:bookmarkStart w:id="6" w:name="_Toc158024985"/>
      <w:r w:rsidRPr="00CB41FE">
        <w:rPr>
          <w:rFonts w:cs="Arial"/>
          <w:sz w:val="24"/>
          <w:szCs w:val="24"/>
        </w:rPr>
        <w:t>Cuadro 1: Beneficiarios del servicio postal, según pertenencia étnica.</w:t>
      </w:r>
      <w:bookmarkEnd w:id="6"/>
    </w:p>
    <w:p w:rsidR="00792387" w:rsidRDefault="00792387" w:rsidP="00792387">
      <w:pPr>
        <w:rPr>
          <w:lang w:val="es-GT"/>
        </w:rPr>
      </w:pPr>
    </w:p>
    <w:p w:rsidR="00792387" w:rsidRPr="00CB41FE" w:rsidRDefault="00792387" w:rsidP="00792387">
      <w:pPr>
        <w:rPr>
          <w:lang w:val="es-GT"/>
        </w:rPr>
      </w:pPr>
    </w:p>
    <w:tbl>
      <w:tblPr>
        <w:tblW w:w="8903" w:type="dxa"/>
        <w:jc w:val="center"/>
        <w:tblCellMar>
          <w:left w:w="70" w:type="dxa"/>
          <w:right w:w="70" w:type="dxa"/>
        </w:tblCellMar>
        <w:tblLook w:val="04A0" w:firstRow="1" w:lastRow="0" w:firstColumn="1" w:lastColumn="0" w:noHBand="0" w:noVBand="1"/>
      </w:tblPr>
      <w:tblGrid>
        <w:gridCol w:w="533"/>
        <w:gridCol w:w="1163"/>
        <w:gridCol w:w="2934"/>
        <w:gridCol w:w="761"/>
        <w:gridCol w:w="1130"/>
        <w:gridCol w:w="766"/>
        <w:gridCol w:w="817"/>
        <w:gridCol w:w="799"/>
      </w:tblGrid>
      <w:tr w:rsidR="00792387" w:rsidRPr="00E92DF2" w:rsidTr="005555C6">
        <w:trPr>
          <w:trHeight w:val="945"/>
          <w:jc w:val="center"/>
        </w:trPr>
        <w:tc>
          <w:tcPr>
            <w:tcW w:w="533"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792387" w:rsidRPr="00E92DF2" w:rsidRDefault="00792387" w:rsidP="005555C6">
            <w:pP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No.</w:t>
            </w:r>
          </w:p>
        </w:tc>
        <w:tc>
          <w:tcPr>
            <w:tcW w:w="1163"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6A5435">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CODIGO CENTRO DE COSTO</w:t>
            </w:r>
          </w:p>
        </w:tc>
        <w:tc>
          <w:tcPr>
            <w:tcW w:w="2934"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AGENCIA</w:t>
            </w:r>
          </w:p>
        </w:tc>
        <w:tc>
          <w:tcPr>
            <w:tcW w:w="761"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MAYA</w:t>
            </w:r>
          </w:p>
        </w:tc>
        <w:tc>
          <w:tcPr>
            <w:tcW w:w="1130"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GARIFUNA</w:t>
            </w:r>
          </w:p>
        </w:tc>
        <w:tc>
          <w:tcPr>
            <w:tcW w:w="766"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XINKA</w:t>
            </w:r>
          </w:p>
        </w:tc>
        <w:tc>
          <w:tcPr>
            <w:tcW w:w="817"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OTROS</w:t>
            </w:r>
          </w:p>
        </w:tc>
        <w:tc>
          <w:tcPr>
            <w:tcW w:w="799"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792387" w:rsidRPr="00E92DF2" w:rsidRDefault="00792387" w:rsidP="005555C6">
            <w:pPr>
              <w:jc w:val="center"/>
              <w:rPr>
                <w:rFonts w:eastAsia="Times New Roman" w:cstheme="minorHAnsi"/>
                <w:b/>
                <w:bCs/>
                <w:color w:val="FFFFFF"/>
                <w:sz w:val="22"/>
                <w:szCs w:val="22"/>
                <w:lang w:val="es-GT" w:eastAsia="es-GT"/>
              </w:rPr>
            </w:pPr>
            <w:r w:rsidRPr="00E92DF2">
              <w:rPr>
                <w:rFonts w:eastAsia="Times New Roman" w:cstheme="minorHAnsi"/>
                <w:b/>
                <w:bCs/>
                <w:color w:val="FFFFFF"/>
                <w:sz w:val="22"/>
                <w:szCs w:val="22"/>
                <w:lang w:val="es-GT" w:eastAsia="es-GT"/>
              </w:rPr>
              <w:t>TOTAL</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w:t>
            </w:r>
          </w:p>
        </w:tc>
        <w:tc>
          <w:tcPr>
            <w:tcW w:w="1163" w:type="dxa"/>
            <w:tcBorders>
              <w:top w:val="nil"/>
              <w:left w:val="nil"/>
              <w:bottom w:val="single" w:sz="4" w:space="0" w:color="auto"/>
              <w:right w:val="single" w:sz="4" w:space="0" w:color="auto"/>
            </w:tcBorders>
            <w:shd w:val="clear" w:color="000000" w:fill="FFFFFF"/>
            <w:vAlign w:val="center"/>
            <w:hideMark/>
          </w:tcPr>
          <w:p w:rsidR="00792387" w:rsidRPr="00E92DF2" w:rsidRDefault="00792387" w:rsidP="006A5435">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2968</w:t>
            </w:r>
          </w:p>
        </w:tc>
        <w:tc>
          <w:tcPr>
            <w:tcW w:w="293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Agencia Central</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1,614</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27</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21,023</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22,704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16245</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Todos Santos Cuchumatán</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108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123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16246</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Pedro la Laguna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361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10</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373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16247</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Salamá</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62</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215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277</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5</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16248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Jutiapa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239</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445</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694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16250</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Chimaltenango</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671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382</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1,056</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7</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16251</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Quetzaltenango</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1,360</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1,549</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2,913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16253</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Antigua Guatemala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209</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1,656</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1,869</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9</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16255</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Villa Canales</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40</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1,232</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1,274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16256</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Huehuetenango</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118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1,472</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1,592</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11</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Marcos</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816</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848</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16259</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Tejutla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169</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190</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13</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16260</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Retalhuleu</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12</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419</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431</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16261</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Totonicapán</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447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14</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461</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15</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16262</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Quiché</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413</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81</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494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16265</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Uspantán</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94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20</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114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17</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16268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Guastatoya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288</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296</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16271</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Santa Lucía Cotzumalguapa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14</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19</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16272</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Cuilapa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7</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12</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283</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303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16277</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Barberena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232</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241</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21</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16283</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Mateo Ixtatán</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42</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16287</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Cobán</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840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143</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984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23</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16288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Puerto Barrios</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29</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468</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503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16289</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Morales</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275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282</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25</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16293</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Chiquimula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359</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363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16294</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Jalapa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191</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385</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27</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17434</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Juan Sacatepéquez</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488</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281</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771</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17435</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Nueva Santa Rosa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31</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33</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66</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29</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17436</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Amatitlán</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38</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1,022</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1,062</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17677</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La Unión</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319</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343</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31</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17678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Usumatlán</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164</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165</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17701</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Concepción las Minas</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189</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190</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33</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17708</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Río Dulce</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43</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35</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80</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17786</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Puerto San José</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152</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158</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35</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17787</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José la Máquina</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572</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754</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18420</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Escuintla</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22</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566</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589</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37</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18425</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Ocós</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19</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19</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18428</w:t>
            </w:r>
          </w:p>
        </w:tc>
        <w:tc>
          <w:tcPr>
            <w:tcW w:w="2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Felipe</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43</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422</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465</w:t>
            </w:r>
          </w:p>
        </w:tc>
      </w:tr>
      <w:tr w:rsidR="00792387" w:rsidRPr="00E92DF2" w:rsidTr="005555C6">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39</w:t>
            </w:r>
          </w:p>
        </w:tc>
        <w:tc>
          <w:tcPr>
            <w:tcW w:w="116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6A5435">
            <w:pPr>
              <w:jc w:val="center"/>
              <w:rPr>
                <w:rFonts w:eastAsia="Times New Roman" w:cstheme="minorHAnsi"/>
                <w:sz w:val="22"/>
                <w:szCs w:val="22"/>
                <w:lang w:val="es-GT" w:eastAsia="es-GT"/>
              </w:rPr>
            </w:pPr>
            <w:r w:rsidRPr="00E92DF2">
              <w:rPr>
                <w:rFonts w:eastAsia="Times New Roman" w:cstheme="minorHAnsi"/>
                <w:sz w:val="22"/>
                <w:szCs w:val="22"/>
                <w:lang w:val="es-GT" w:eastAsia="es-GT"/>
              </w:rPr>
              <w:t>18764</w:t>
            </w:r>
          </w:p>
        </w:tc>
        <w:tc>
          <w:tcPr>
            <w:tcW w:w="293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rPr>
                <w:rFonts w:eastAsia="Times New Roman" w:cstheme="minorHAnsi"/>
                <w:sz w:val="22"/>
                <w:szCs w:val="22"/>
                <w:lang w:val="es-GT" w:eastAsia="es-GT"/>
              </w:rPr>
            </w:pPr>
            <w:r w:rsidRPr="00E92DF2">
              <w:rPr>
                <w:rFonts w:eastAsia="Times New Roman" w:cstheme="minorHAnsi"/>
                <w:sz w:val="22"/>
                <w:szCs w:val="22"/>
                <w:lang w:val="es-GT" w:eastAsia="es-GT"/>
              </w:rPr>
              <w:t>San Francisco, Petén</w:t>
            </w:r>
          </w:p>
        </w:tc>
        <w:tc>
          <w:tcPr>
            <w:tcW w:w="76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141</w:t>
            </w:r>
          </w:p>
        </w:tc>
        <w:tc>
          <w:tcPr>
            <w:tcW w:w="113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0</w:t>
            </w:r>
          </w:p>
        </w:tc>
        <w:tc>
          <w:tcPr>
            <w:tcW w:w="81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492</w:t>
            </w:r>
          </w:p>
        </w:tc>
        <w:tc>
          <w:tcPr>
            <w:tcW w:w="79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792387" w:rsidRPr="00E92DF2" w:rsidRDefault="00792387" w:rsidP="005555C6">
            <w:pPr>
              <w:jc w:val="center"/>
              <w:rPr>
                <w:rFonts w:eastAsia="Times New Roman" w:cstheme="minorHAnsi"/>
                <w:sz w:val="22"/>
                <w:szCs w:val="22"/>
                <w:lang w:val="es-GT" w:eastAsia="es-GT"/>
              </w:rPr>
            </w:pPr>
            <w:r w:rsidRPr="00E92DF2">
              <w:rPr>
                <w:rFonts w:eastAsia="Times New Roman" w:cstheme="minorHAnsi"/>
                <w:sz w:val="22"/>
                <w:szCs w:val="22"/>
                <w:lang w:val="es-GT" w:eastAsia="es-GT"/>
              </w:rPr>
              <w:t>633</w:t>
            </w:r>
          </w:p>
        </w:tc>
      </w:tr>
      <w:tr w:rsidR="00792387" w:rsidRPr="00E92DF2" w:rsidTr="005555C6">
        <w:trPr>
          <w:trHeight w:val="315"/>
          <w:jc w:val="center"/>
        </w:trPr>
        <w:tc>
          <w:tcPr>
            <w:tcW w:w="533" w:type="dxa"/>
            <w:tcBorders>
              <w:top w:val="nil"/>
              <w:left w:val="nil"/>
              <w:bottom w:val="nil"/>
              <w:right w:val="nil"/>
            </w:tcBorders>
            <w:shd w:val="clear" w:color="auto" w:fill="auto"/>
            <w:noWrap/>
            <w:vAlign w:val="bottom"/>
            <w:hideMark/>
          </w:tcPr>
          <w:p w:rsidR="00792387" w:rsidRPr="00E92DF2" w:rsidRDefault="00792387" w:rsidP="005555C6">
            <w:pPr>
              <w:jc w:val="center"/>
              <w:rPr>
                <w:rFonts w:eastAsia="Times New Roman" w:cstheme="minorHAnsi"/>
                <w:sz w:val="22"/>
                <w:szCs w:val="22"/>
                <w:lang w:val="es-GT" w:eastAsia="es-GT"/>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color w:val="000000"/>
                <w:sz w:val="22"/>
                <w:szCs w:val="22"/>
                <w:lang w:val="es-GT" w:eastAsia="es-GT"/>
              </w:rPr>
            </w:pPr>
            <w:r w:rsidRPr="00E92DF2">
              <w:rPr>
                <w:rFonts w:eastAsia="Times New Roman" w:cstheme="minorHAnsi"/>
                <w:color w:val="000000"/>
                <w:sz w:val="22"/>
                <w:szCs w:val="22"/>
                <w:lang w:val="es-GT" w:eastAsia="es-GT"/>
              </w:rPr>
              <w:t> </w:t>
            </w:r>
          </w:p>
        </w:tc>
        <w:tc>
          <w:tcPr>
            <w:tcW w:w="2934"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TOTAL</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7,506</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73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505</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36,038</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792387" w:rsidRPr="00E92DF2" w:rsidRDefault="00792387" w:rsidP="005555C6">
            <w:pPr>
              <w:jc w:val="center"/>
              <w:rPr>
                <w:rFonts w:eastAsia="Times New Roman" w:cstheme="minorHAnsi"/>
                <w:b/>
                <w:bCs/>
                <w:color w:val="000000"/>
                <w:sz w:val="22"/>
                <w:szCs w:val="22"/>
                <w:lang w:val="es-GT" w:eastAsia="es-GT"/>
              </w:rPr>
            </w:pPr>
            <w:r w:rsidRPr="00E92DF2">
              <w:rPr>
                <w:rFonts w:eastAsia="Times New Roman" w:cstheme="minorHAnsi"/>
                <w:b/>
                <w:bCs/>
                <w:color w:val="000000"/>
                <w:sz w:val="22"/>
                <w:szCs w:val="22"/>
                <w:lang w:val="es-GT" w:eastAsia="es-GT"/>
              </w:rPr>
              <w:t>44,122</w:t>
            </w:r>
          </w:p>
        </w:tc>
      </w:tr>
    </w:tbl>
    <w:p w:rsidR="00792387" w:rsidRDefault="00792387" w:rsidP="00792387">
      <w:pPr>
        <w:rPr>
          <w:rFonts w:ascii="Arial" w:hAnsi="Arial" w:cs="Arial"/>
        </w:rPr>
      </w:pPr>
      <w:r>
        <w:rPr>
          <w:rFonts w:ascii="Arial" w:hAnsi="Arial" w:cs="Arial"/>
        </w:rPr>
        <w:br w:type="page"/>
      </w:r>
    </w:p>
    <w:p w:rsidR="006A5435" w:rsidRDefault="006A5435" w:rsidP="00792387">
      <w:pPr>
        <w:rPr>
          <w:rFonts w:ascii="Arial" w:hAnsi="Arial" w:cs="Arial"/>
        </w:rPr>
      </w:pPr>
    </w:p>
    <w:p w:rsidR="00792387" w:rsidRDefault="00792387" w:rsidP="00792387">
      <w:pPr>
        <w:pStyle w:val="Ttulo2"/>
        <w:jc w:val="center"/>
        <w:rPr>
          <w:rFonts w:cs="Arial"/>
          <w:sz w:val="24"/>
          <w:szCs w:val="24"/>
        </w:rPr>
      </w:pPr>
      <w:bookmarkStart w:id="7" w:name="_Toc158024986"/>
      <w:r w:rsidRPr="00267B92">
        <w:rPr>
          <w:rFonts w:cs="Arial"/>
          <w:sz w:val="24"/>
          <w:szCs w:val="24"/>
        </w:rPr>
        <w:t>Gráfic</w:t>
      </w:r>
      <w:r>
        <w:rPr>
          <w:rFonts w:cs="Arial"/>
          <w:sz w:val="24"/>
          <w:szCs w:val="24"/>
        </w:rPr>
        <w:t>a</w:t>
      </w:r>
      <w:r w:rsidRPr="00267B92">
        <w:rPr>
          <w:rFonts w:cs="Arial"/>
          <w:sz w:val="24"/>
          <w:szCs w:val="24"/>
        </w:rPr>
        <w:t xml:space="preserve"> 1: Beneficiarios del servicio postal según pertenencia</w:t>
      </w:r>
      <w:r>
        <w:rPr>
          <w:rFonts w:cs="Arial"/>
          <w:sz w:val="24"/>
          <w:szCs w:val="24"/>
        </w:rPr>
        <w:t xml:space="preserve"> étnica</w:t>
      </w:r>
      <w:bookmarkEnd w:id="7"/>
    </w:p>
    <w:p w:rsidR="00792387" w:rsidRDefault="00792387" w:rsidP="00792387">
      <w:pPr>
        <w:rPr>
          <w:lang w:val="es-GT"/>
        </w:rPr>
      </w:pPr>
    </w:p>
    <w:p w:rsidR="00792387" w:rsidRPr="00657E52" w:rsidRDefault="00792387" w:rsidP="00792387">
      <w:pPr>
        <w:jc w:val="center"/>
        <w:rPr>
          <w:lang w:val="es-GT"/>
        </w:rPr>
      </w:pPr>
      <w:r>
        <w:rPr>
          <w:noProof/>
          <w:lang w:val="es-GT" w:eastAsia="es-GT"/>
        </w:rPr>
        <w:drawing>
          <wp:inline distT="0" distB="0" distL="0" distR="0" wp14:anchorId="7B1E79ED" wp14:editId="5B387447">
            <wp:extent cx="4524375" cy="250507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2387" w:rsidRDefault="00792387" w:rsidP="00792387">
      <w:pPr>
        <w:rPr>
          <w:lang w:val="es-GT"/>
        </w:rPr>
      </w:pPr>
    </w:p>
    <w:p w:rsidR="00792387" w:rsidRPr="00FD6C14" w:rsidRDefault="00792387" w:rsidP="00792387">
      <w:pPr>
        <w:pStyle w:val="Prrafodelista"/>
        <w:spacing w:line="360" w:lineRule="auto"/>
        <w:ind w:left="567"/>
        <w:jc w:val="both"/>
        <w:rPr>
          <w:rFonts w:ascii="Arial" w:eastAsiaTheme="majorEastAsia" w:hAnsi="Arial" w:cs="Arial"/>
          <w:b/>
          <w:u w:val="single"/>
        </w:rPr>
      </w:pPr>
      <w:r w:rsidRPr="00FD6C14">
        <w:rPr>
          <w:rFonts w:ascii="Arial" w:eastAsiaTheme="majorEastAsia" w:hAnsi="Arial" w:cs="Arial"/>
          <w:b/>
          <w:u w:val="single"/>
        </w:rPr>
        <w:t>Información según encuesta dirigida</w:t>
      </w:r>
      <w:r>
        <w:rPr>
          <w:rFonts w:ascii="Arial" w:eastAsiaTheme="majorEastAsia" w:hAnsi="Arial" w:cs="Arial"/>
          <w:b/>
          <w:u w:val="single"/>
        </w:rPr>
        <w:t xml:space="preserve"> a usuarios del servicio postal</w:t>
      </w:r>
    </w:p>
    <w:p w:rsidR="00792387" w:rsidRDefault="00792387" w:rsidP="00792387">
      <w:pPr>
        <w:pStyle w:val="Prrafodelista"/>
        <w:spacing w:line="360" w:lineRule="auto"/>
        <w:ind w:left="567"/>
        <w:jc w:val="both"/>
        <w:rPr>
          <w:rFonts w:ascii="Arial" w:hAnsi="Arial" w:cs="Arial"/>
        </w:rPr>
      </w:pPr>
    </w:p>
    <w:p w:rsidR="00792387" w:rsidRPr="006145EF" w:rsidRDefault="00792387" w:rsidP="00792387">
      <w:pPr>
        <w:pStyle w:val="Prrafodelista"/>
        <w:spacing w:line="360" w:lineRule="auto"/>
        <w:ind w:left="567"/>
        <w:jc w:val="both"/>
        <w:rPr>
          <w:rFonts w:ascii="Arial" w:hAnsi="Arial" w:cs="Arial"/>
        </w:rPr>
      </w:pPr>
      <w:r w:rsidRPr="005D781A">
        <w:rPr>
          <w:rFonts w:ascii="Arial" w:hAnsi="Arial" w:cs="Arial"/>
        </w:rPr>
        <w:t xml:space="preserve">Según la encuesta recopilada en el mes de </w:t>
      </w:r>
      <w:r>
        <w:rPr>
          <w:rFonts w:ascii="Arial" w:hAnsi="Arial" w:cs="Arial"/>
        </w:rPr>
        <w:t>E</w:t>
      </w:r>
      <w:r w:rsidRPr="005D781A">
        <w:rPr>
          <w:rFonts w:ascii="Arial" w:hAnsi="Arial" w:cs="Arial"/>
        </w:rPr>
        <w:t>nero, dirigida a los usuarios del servicio postal, indica que el 9</w:t>
      </w:r>
      <w:r>
        <w:rPr>
          <w:rFonts w:ascii="Arial" w:hAnsi="Arial" w:cs="Arial"/>
        </w:rPr>
        <w:t>3</w:t>
      </w:r>
      <w:r w:rsidRPr="005D781A">
        <w:rPr>
          <w:rFonts w:ascii="Arial" w:hAnsi="Arial" w:cs="Arial"/>
        </w:rPr>
        <w:t>.</w:t>
      </w:r>
      <w:r>
        <w:rPr>
          <w:rFonts w:ascii="Arial" w:hAnsi="Arial" w:cs="Arial"/>
        </w:rPr>
        <w:t>40</w:t>
      </w:r>
      <w:r w:rsidRPr="005D781A">
        <w:rPr>
          <w:rFonts w:ascii="Arial" w:hAnsi="Arial" w:cs="Arial"/>
        </w:rPr>
        <w:t xml:space="preserve">% de los beneficiarios del servicio pertenecen al pueblo Mestizo/Ladino y el </w:t>
      </w:r>
      <w:r>
        <w:rPr>
          <w:rFonts w:ascii="Arial" w:hAnsi="Arial" w:cs="Arial"/>
        </w:rPr>
        <w:t>6.60</w:t>
      </w:r>
      <w:r w:rsidRPr="005D781A">
        <w:rPr>
          <w:rFonts w:ascii="Arial" w:hAnsi="Arial" w:cs="Arial"/>
        </w:rPr>
        <w:t>% al pueblo Maya; tal como se evidencia en la gráfica 2.</w:t>
      </w:r>
    </w:p>
    <w:p w:rsidR="00792387" w:rsidRDefault="00792387" w:rsidP="00792387">
      <w:pPr>
        <w:rPr>
          <w:rFonts w:ascii="Arial" w:hAnsi="Arial" w:cs="Arial"/>
          <w:lang w:val="es-GT"/>
        </w:rPr>
      </w:pPr>
    </w:p>
    <w:p w:rsidR="00792387" w:rsidRDefault="00792387" w:rsidP="00792387">
      <w:pPr>
        <w:pStyle w:val="Ttulo2"/>
        <w:ind w:left="426"/>
        <w:jc w:val="center"/>
        <w:rPr>
          <w:rFonts w:cs="Arial"/>
          <w:sz w:val="24"/>
          <w:szCs w:val="24"/>
        </w:rPr>
      </w:pPr>
      <w:bookmarkStart w:id="8" w:name="_Toc158024987"/>
      <w:r>
        <w:rPr>
          <w:rFonts w:cs="Arial"/>
          <w:sz w:val="24"/>
          <w:szCs w:val="24"/>
        </w:rPr>
        <w:t>Gráfica</w:t>
      </w:r>
      <w:r w:rsidRPr="00DA068F">
        <w:rPr>
          <w:rFonts w:cs="Arial"/>
          <w:sz w:val="24"/>
          <w:szCs w:val="24"/>
        </w:rPr>
        <w:t xml:space="preserve"> 2: </w:t>
      </w:r>
      <w:r w:rsidRPr="006D7592">
        <w:rPr>
          <w:rFonts w:cs="Arial"/>
          <w:sz w:val="24"/>
          <w:szCs w:val="24"/>
        </w:rPr>
        <w:t>Pueblo al que pertenecen los usuarios del servicio Postal</w:t>
      </w:r>
      <w:r>
        <w:rPr>
          <w:rFonts w:cs="Arial"/>
          <w:sz w:val="24"/>
          <w:szCs w:val="24"/>
        </w:rPr>
        <w:t xml:space="preserve">, mes </w:t>
      </w:r>
      <w:r w:rsidRPr="00813577">
        <w:rPr>
          <w:rFonts w:cs="Arial"/>
          <w:sz w:val="24"/>
          <w:szCs w:val="24"/>
        </w:rPr>
        <w:t xml:space="preserve">de </w:t>
      </w:r>
      <w:r>
        <w:rPr>
          <w:rFonts w:cs="Arial"/>
          <w:sz w:val="24"/>
          <w:szCs w:val="24"/>
        </w:rPr>
        <w:t xml:space="preserve">Enero </w:t>
      </w:r>
      <w:r w:rsidRPr="00813577">
        <w:rPr>
          <w:rFonts w:cs="Arial"/>
          <w:sz w:val="24"/>
          <w:szCs w:val="24"/>
        </w:rPr>
        <w:t>del 202</w:t>
      </w:r>
      <w:r>
        <w:rPr>
          <w:rFonts w:cs="Arial"/>
          <w:sz w:val="24"/>
          <w:szCs w:val="24"/>
        </w:rPr>
        <w:t>4.</w:t>
      </w:r>
      <w:bookmarkEnd w:id="8"/>
    </w:p>
    <w:p w:rsidR="00792387" w:rsidRDefault="00792387" w:rsidP="00792387">
      <w:pPr>
        <w:rPr>
          <w:lang w:val="es-GT"/>
        </w:rPr>
      </w:pPr>
    </w:p>
    <w:p w:rsidR="00792387" w:rsidRDefault="00792387" w:rsidP="00792387">
      <w:pPr>
        <w:jc w:val="center"/>
        <w:rPr>
          <w:lang w:val="es-GT"/>
        </w:rPr>
      </w:pPr>
      <w:r>
        <w:rPr>
          <w:noProof/>
          <w:lang w:val="es-GT" w:eastAsia="es-GT"/>
        </w:rPr>
        <w:drawing>
          <wp:inline distT="0" distB="0" distL="0" distR="0" wp14:anchorId="1FD1B950" wp14:editId="4BBEECA8">
            <wp:extent cx="4352925" cy="2038350"/>
            <wp:effectExtent l="19050" t="19050" r="952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2387" w:rsidRDefault="00792387" w:rsidP="00792387">
      <w:pPr>
        <w:rPr>
          <w:lang w:val="es-GT"/>
        </w:rPr>
      </w:pPr>
    </w:p>
    <w:p w:rsidR="00216A24" w:rsidRDefault="00216A24" w:rsidP="00792387">
      <w:pPr>
        <w:rPr>
          <w:lang w:val="es-GT"/>
        </w:rPr>
      </w:pPr>
    </w:p>
    <w:p w:rsidR="00792387" w:rsidRPr="00913E86" w:rsidRDefault="00792387" w:rsidP="00792387">
      <w:pPr>
        <w:pStyle w:val="Prrafodelista"/>
        <w:spacing w:line="360" w:lineRule="auto"/>
        <w:ind w:left="567"/>
        <w:jc w:val="both"/>
        <w:rPr>
          <w:rFonts w:ascii="Arial" w:hAnsi="Arial" w:cs="Arial"/>
        </w:rPr>
      </w:pPr>
      <w:r w:rsidRPr="00913E86">
        <w:rPr>
          <w:rFonts w:ascii="Arial" w:hAnsi="Arial" w:cs="Arial"/>
        </w:rPr>
        <w:t xml:space="preserve">Las comunidades lingüísticas reflejadas en la encuesta del mes de </w:t>
      </w:r>
      <w:r>
        <w:rPr>
          <w:rFonts w:ascii="Arial" w:hAnsi="Arial" w:cs="Arial"/>
        </w:rPr>
        <w:t>Enero</w:t>
      </w:r>
      <w:r w:rsidRPr="00913E86">
        <w:rPr>
          <w:rFonts w:ascii="Arial" w:hAnsi="Arial" w:cs="Arial"/>
        </w:rPr>
        <w:t xml:space="preserve"> estima que, según la autodeterminación de los usuarios que respondieron </w:t>
      </w:r>
      <w:r w:rsidR="00CF3B10">
        <w:rPr>
          <w:rFonts w:ascii="Arial" w:hAnsi="Arial" w:cs="Arial"/>
        </w:rPr>
        <w:t>l</w:t>
      </w:r>
      <w:r w:rsidRPr="00913E86">
        <w:rPr>
          <w:rFonts w:ascii="Arial" w:hAnsi="Arial" w:cs="Arial"/>
        </w:rPr>
        <w:t xml:space="preserve">a encuesta, el </w:t>
      </w:r>
      <w:r>
        <w:rPr>
          <w:rFonts w:ascii="Arial" w:hAnsi="Arial" w:cs="Arial"/>
        </w:rPr>
        <w:t>1.52</w:t>
      </w:r>
      <w:r w:rsidRPr="00913E86">
        <w:rPr>
          <w:rFonts w:ascii="Arial" w:hAnsi="Arial" w:cs="Arial"/>
        </w:rPr>
        <w:t xml:space="preserve">% se autoidentifica que pertenece a la comunidad lingüística </w:t>
      </w:r>
      <w:r>
        <w:rPr>
          <w:rFonts w:ascii="Arial" w:hAnsi="Arial" w:cs="Arial"/>
        </w:rPr>
        <w:t>Kaqchikel, 1.52</w:t>
      </w:r>
      <w:r w:rsidRPr="00913E86">
        <w:rPr>
          <w:rFonts w:ascii="Arial" w:hAnsi="Arial" w:cs="Arial"/>
        </w:rPr>
        <w:t xml:space="preserve">% a la comunidad lingüística </w:t>
      </w:r>
      <w:r>
        <w:rPr>
          <w:rFonts w:ascii="Arial" w:hAnsi="Arial" w:cs="Arial"/>
        </w:rPr>
        <w:t>K’iche’,</w:t>
      </w:r>
      <w:r w:rsidRPr="00913E86">
        <w:rPr>
          <w:rFonts w:ascii="Arial" w:hAnsi="Arial" w:cs="Arial"/>
        </w:rPr>
        <w:t xml:space="preserve"> </w:t>
      </w:r>
      <w:r>
        <w:rPr>
          <w:rFonts w:ascii="Arial" w:hAnsi="Arial" w:cs="Arial"/>
        </w:rPr>
        <w:t>el 1.01% a la comunidad lingüís</w:t>
      </w:r>
      <w:r w:rsidRPr="00913E86">
        <w:rPr>
          <w:rFonts w:ascii="Arial" w:hAnsi="Arial" w:cs="Arial"/>
        </w:rPr>
        <w:t xml:space="preserve">tica </w:t>
      </w:r>
      <w:r>
        <w:rPr>
          <w:rFonts w:ascii="Arial" w:hAnsi="Arial" w:cs="Arial"/>
        </w:rPr>
        <w:t>Sakapulteka, el 0.51% a la comunidad lingüís</w:t>
      </w:r>
      <w:r w:rsidRPr="00913E86">
        <w:rPr>
          <w:rFonts w:ascii="Arial" w:hAnsi="Arial" w:cs="Arial"/>
        </w:rPr>
        <w:t xml:space="preserve">tica </w:t>
      </w:r>
      <w:r>
        <w:rPr>
          <w:rFonts w:ascii="Arial" w:hAnsi="Arial" w:cs="Arial"/>
        </w:rPr>
        <w:t>Q’eqchi’, el 0.51% a la comunidad lingüís</w:t>
      </w:r>
      <w:r w:rsidRPr="00913E86">
        <w:rPr>
          <w:rFonts w:ascii="Arial" w:hAnsi="Arial" w:cs="Arial"/>
        </w:rPr>
        <w:t xml:space="preserve">tica </w:t>
      </w:r>
      <w:r>
        <w:rPr>
          <w:rFonts w:ascii="Arial" w:hAnsi="Arial" w:cs="Arial"/>
        </w:rPr>
        <w:t>Uspanteka, el 0.51% a la comunidad lingüís</w:t>
      </w:r>
      <w:r w:rsidRPr="00913E86">
        <w:rPr>
          <w:rFonts w:ascii="Arial" w:hAnsi="Arial" w:cs="Arial"/>
        </w:rPr>
        <w:t xml:space="preserve">tica </w:t>
      </w:r>
      <w:r>
        <w:rPr>
          <w:rFonts w:ascii="Arial" w:hAnsi="Arial" w:cs="Arial"/>
        </w:rPr>
        <w:t>Achi’</w:t>
      </w:r>
      <w:r w:rsidRPr="00913E86">
        <w:rPr>
          <w:rFonts w:ascii="Arial" w:hAnsi="Arial" w:cs="Arial"/>
        </w:rPr>
        <w:t xml:space="preserve"> y 9</w:t>
      </w:r>
      <w:r>
        <w:rPr>
          <w:rFonts w:ascii="Arial" w:hAnsi="Arial" w:cs="Arial"/>
        </w:rPr>
        <w:t>4</w:t>
      </w:r>
      <w:r w:rsidRPr="00913E86">
        <w:rPr>
          <w:rFonts w:ascii="Arial" w:hAnsi="Arial" w:cs="Arial"/>
        </w:rPr>
        <w:t>.4</w:t>
      </w:r>
      <w:r>
        <w:rPr>
          <w:rFonts w:ascii="Arial" w:hAnsi="Arial" w:cs="Arial"/>
        </w:rPr>
        <w:t>4</w:t>
      </w:r>
      <w:r w:rsidRPr="00913E86">
        <w:rPr>
          <w:rFonts w:ascii="Arial" w:hAnsi="Arial" w:cs="Arial"/>
        </w:rPr>
        <w:t>% pertenecen a la comunidad lingüística Español, tal como se presenta  en la gráfica 3.</w:t>
      </w:r>
    </w:p>
    <w:p w:rsidR="00792387" w:rsidRPr="00E12974" w:rsidRDefault="00792387" w:rsidP="00792387">
      <w:pPr>
        <w:jc w:val="both"/>
        <w:rPr>
          <w:rFonts w:ascii="Arial" w:hAnsi="Arial" w:cs="Arial"/>
        </w:rPr>
      </w:pPr>
    </w:p>
    <w:p w:rsidR="00792387" w:rsidRPr="00267B92" w:rsidRDefault="00792387" w:rsidP="00792387">
      <w:pPr>
        <w:pStyle w:val="Ttulo2"/>
        <w:ind w:left="567"/>
        <w:jc w:val="center"/>
        <w:rPr>
          <w:rFonts w:cs="Arial"/>
          <w:sz w:val="24"/>
          <w:szCs w:val="24"/>
        </w:rPr>
      </w:pPr>
      <w:bookmarkStart w:id="9" w:name="_Toc158024988"/>
      <w:r w:rsidRPr="008459D0">
        <w:rPr>
          <w:rFonts w:cs="Arial"/>
          <w:sz w:val="24"/>
          <w:szCs w:val="24"/>
        </w:rPr>
        <w:t>Gráfic</w:t>
      </w:r>
      <w:r>
        <w:rPr>
          <w:rFonts w:cs="Arial"/>
          <w:sz w:val="24"/>
          <w:szCs w:val="24"/>
        </w:rPr>
        <w:t>a</w:t>
      </w:r>
      <w:r w:rsidRPr="008459D0">
        <w:rPr>
          <w:rFonts w:cs="Arial"/>
          <w:sz w:val="24"/>
          <w:szCs w:val="24"/>
        </w:rPr>
        <w:t xml:space="preserve"> 3: Comunidad lingüística de los beneficiarios del servicio postal del mes de </w:t>
      </w:r>
      <w:r>
        <w:rPr>
          <w:rFonts w:cs="Arial"/>
          <w:sz w:val="24"/>
          <w:szCs w:val="24"/>
        </w:rPr>
        <w:t xml:space="preserve">Enero </w:t>
      </w:r>
      <w:r w:rsidRPr="008459D0">
        <w:rPr>
          <w:rFonts w:cs="Arial"/>
          <w:sz w:val="24"/>
          <w:szCs w:val="24"/>
        </w:rPr>
        <w:t>del 202</w:t>
      </w:r>
      <w:r>
        <w:rPr>
          <w:rFonts w:cs="Arial"/>
          <w:sz w:val="24"/>
          <w:szCs w:val="24"/>
        </w:rPr>
        <w:t>4.</w:t>
      </w:r>
      <w:bookmarkEnd w:id="9"/>
    </w:p>
    <w:p w:rsidR="00792387" w:rsidRDefault="00792387" w:rsidP="00792387">
      <w:pPr>
        <w:jc w:val="center"/>
      </w:pPr>
    </w:p>
    <w:p w:rsidR="00792387" w:rsidRDefault="00792387" w:rsidP="00792387">
      <w:pPr>
        <w:jc w:val="center"/>
      </w:pPr>
      <w:r>
        <w:rPr>
          <w:noProof/>
          <w:lang w:val="es-GT" w:eastAsia="es-GT"/>
        </w:rPr>
        <w:drawing>
          <wp:inline distT="0" distB="0" distL="0" distR="0" wp14:anchorId="7689C484" wp14:editId="1E44F3D7">
            <wp:extent cx="5048250" cy="3435350"/>
            <wp:effectExtent l="19050" t="19050" r="19050" b="127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2387" w:rsidRDefault="00792387" w:rsidP="00792387">
      <w:pPr>
        <w:jc w:val="center"/>
      </w:pPr>
    </w:p>
    <w:p w:rsidR="00792387" w:rsidRDefault="00792387" w:rsidP="00792387">
      <w:pPr>
        <w:jc w:val="center"/>
      </w:pPr>
    </w:p>
    <w:p w:rsidR="00792387" w:rsidRDefault="00792387" w:rsidP="00A02C2B"/>
    <w:sectPr w:rsidR="00792387" w:rsidSect="007750FD">
      <w:headerReference w:type="default" r:id="rId13"/>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5E" w:rsidRDefault="00AD755E" w:rsidP="007750FD">
      <w:r>
        <w:separator/>
      </w:r>
    </w:p>
  </w:endnote>
  <w:endnote w:type="continuationSeparator" w:id="0">
    <w:p w:rsidR="00AD755E" w:rsidRDefault="00AD755E"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5E" w:rsidRDefault="00AD755E" w:rsidP="007750FD">
      <w:r>
        <w:separator/>
      </w:r>
    </w:p>
  </w:footnote>
  <w:footnote w:type="continuationSeparator" w:id="0">
    <w:p w:rsidR="00AD755E" w:rsidRDefault="00AD755E"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FD" w:rsidRDefault="007750FD">
    <w:pPr>
      <w:pStyle w:val="Encabezado"/>
    </w:pPr>
    <w:r>
      <w:rPr>
        <w:noProof/>
        <w:lang w:val="es-GT" w:eastAsia="es-GT"/>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15:restartNumberingAfterBreak="0">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D"/>
    <w:rsid w:val="0008290D"/>
    <w:rsid w:val="00124376"/>
    <w:rsid w:val="001D4CCF"/>
    <w:rsid w:val="00216A24"/>
    <w:rsid w:val="00216F9C"/>
    <w:rsid w:val="00241D79"/>
    <w:rsid w:val="00242146"/>
    <w:rsid w:val="00272490"/>
    <w:rsid w:val="00343CD0"/>
    <w:rsid w:val="003A286A"/>
    <w:rsid w:val="0047171E"/>
    <w:rsid w:val="004C22ED"/>
    <w:rsid w:val="00515D1B"/>
    <w:rsid w:val="00572C64"/>
    <w:rsid w:val="00585D70"/>
    <w:rsid w:val="006A2468"/>
    <w:rsid w:val="006A5435"/>
    <w:rsid w:val="006F7A52"/>
    <w:rsid w:val="00756C83"/>
    <w:rsid w:val="007750FD"/>
    <w:rsid w:val="00792387"/>
    <w:rsid w:val="008159CD"/>
    <w:rsid w:val="0083404C"/>
    <w:rsid w:val="00847EDE"/>
    <w:rsid w:val="008A4BFB"/>
    <w:rsid w:val="009F434C"/>
    <w:rsid w:val="00A02C2B"/>
    <w:rsid w:val="00A317D0"/>
    <w:rsid w:val="00A65668"/>
    <w:rsid w:val="00AD0DAD"/>
    <w:rsid w:val="00AD755E"/>
    <w:rsid w:val="00B11DF8"/>
    <w:rsid w:val="00BC07F3"/>
    <w:rsid w:val="00C153C7"/>
    <w:rsid w:val="00C616F6"/>
    <w:rsid w:val="00CD6B56"/>
    <w:rsid w:val="00CF3B10"/>
    <w:rsid w:val="00CF5F5F"/>
    <w:rsid w:val="00DF5C3F"/>
    <w:rsid w:val="00E84E83"/>
    <w:rsid w:val="00EA1BA8"/>
    <w:rsid w:val="00F351C1"/>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2D6A4AF-7D39-8D4C-B0D5-56D7A348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96\ecahuec\Documentos\A&#209;O%202024\METAS%20FISICAS%20A&#209;O%202024\Informe%20Sociolinguistico%202024\ENERO%2024%20-%20ISLXCO\INFORME%20SOCIOLINGUISTICO%20PLANTILL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G:\2024\Metas%20F&#237;sicas\2024\Enero%202024\Encuesta\20%20de%20sep%20al%206%20de%20febrero%202023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4\Metas%20F&#237;sicas\2024\Enero%202024\Encuesta\20%20de%20sep%20al%206%20de%20febrero%202023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lumMod val="75000"/>
              </a:schemeClr>
            </a:solidFill>
            <a:ln>
              <a:solidFill>
                <a:schemeClr val="accent1">
                  <a:lumMod val="60000"/>
                  <a:lumOff val="40000"/>
                </a:schemeClr>
              </a:solidFill>
            </a:ln>
            <a:effectLst/>
            <a:sp3d>
              <a:contourClr>
                <a:schemeClr val="accent1">
                  <a:lumMod val="60000"/>
                  <a:lumOff val="40000"/>
                </a:schemeClr>
              </a:contourClr>
            </a:sp3d>
          </c:spPr>
          <c:invertIfNegative val="0"/>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4.166666666666667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SOCIOLINGUISTICO PLANTILLA.xlsx]Gráfica 3 pertenencia étnica'!$B$3:$E$3</c:f>
              <c:strCache>
                <c:ptCount val="4"/>
                <c:pt idx="0">
                  <c:v>MAYA</c:v>
                </c:pt>
                <c:pt idx="1">
                  <c:v>GARIFUNA</c:v>
                </c:pt>
                <c:pt idx="2">
                  <c:v>XINKA</c:v>
                </c:pt>
                <c:pt idx="3">
                  <c:v>OTROS</c:v>
                </c:pt>
              </c:strCache>
            </c:strRef>
          </c:cat>
          <c:val>
            <c:numRef>
              <c:f>'[INFORME SOCIOLINGUISTICO PLANTILLA.xlsx]Gráfica 3 pertenencia étnica'!$B$44:$E$44</c:f>
              <c:numCache>
                <c:formatCode>0.00</c:formatCode>
                <c:ptCount val="4"/>
                <c:pt idx="0">
                  <c:v>17.011921490412945</c:v>
                </c:pt>
                <c:pt idx="1">
                  <c:v>0.1654503422328997</c:v>
                </c:pt>
                <c:pt idx="2">
                  <c:v>1.14455373736458</c:v>
                </c:pt>
                <c:pt idx="3">
                  <c:v>81.678074429989579</c:v>
                </c:pt>
              </c:numCache>
            </c:numRef>
          </c:val>
        </c:ser>
        <c:dLbls>
          <c:showLegendKey val="0"/>
          <c:showVal val="1"/>
          <c:showCatName val="0"/>
          <c:showSerName val="0"/>
          <c:showPercent val="0"/>
          <c:showBubbleSize val="0"/>
        </c:dLbls>
        <c:gapWidth val="150"/>
        <c:shape val="box"/>
        <c:axId val="244369168"/>
        <c:axId val="244369560"/>
        <c:axId val="0"/>
      </c:bar3DChart>
      <c:catAx>
        <c:axId val="24436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GT"/>
          </a:p>
        </c:txPr>
        <c:crossAx val="244369560"/>
        <c:crosses val="autoZero"/>
        <c:auto val="1"/>
        <c:lblAlgn val="ctr"/>
        <c:lblOffset val="100"/>
        <c:noMultiLvlLbl val="0"/>
      </c:catAx>
      <c:valAx>
        <c:axId val="244369560"/>
        <c:scaling>
          <c:orientation val="minMax"/>
        </c:scaling>
        <c:delete val="1"/>
        <c:axPos val="l"/>
        <c:numFmt formatCode="0.00" sourceLinked="1"/>
        <c:majorTickMark val="none"/>
        <c:minorTickMark val="none"/>
        <c:tickLblPos val="nextTo"/>
        <c:crossAx val="2443691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50520790164388"/>
          <c:y val="0.14225182740084594"/>
          <c:w val="0.36018234562784929"/>
          <c:h val="0.569339913676665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manualLayout>
                  <c:x val="-2.4941566514711976E-2"/>
                  <c:y val="9.1916734306977568E-2"/>
                </c:manualLayout>
              </c:layout>
              <c:spPr>
                <a:noFill/>
                <a:ln>
                  <a:noFill/>
                </a:ln>
                <a:effectLst/>
              </c:spPr>
              <c:txPr>
                <a:bodyPr wrap="square" lIns="38100" tIns="19050" rIns="38100" bIns="19050" anchor="ctr">
                  <a:noAutofit/>
                </a:bodyPr>
                <a:lstStyle/>
                <a:p>
                  <a:pPr>
                    <a:defRPr sz="1100" b="1">
                      <a:latin typeface="Arial" panose="020B0604020202020204" pitchFamily="34" charset="0"/>
                      <a:cs typeface="Arial" panose="020B0604020202020204" pitchFamily="34" charset="0"/>
                    </a:defRPr>
                  </a:pPr>
                  <a:endParaRPr lang="es-GT"/>
                </a:p>
              </c:txPr>
              <c:showLegendKey val="0"/>
              <c:showVal val="1"/>
              <c:showCatName val="1"/>
              <c:showSerName val="0"/>
              <c:showPercent val="0"/>
              <c:showBubbleSize val="0"/>
              <c:extLst>
                <c:ext xmlns:c15="http://schemas.microsoft.com/office/drawing/2012/chart" uri="{CE6537A1-D6FC-4f65-9D91-7224C49458BB}">
                  <c15:layout>
                    <c:manualLayout>
                      <c:w val="0.2603930929686421"/>
                      <c:h val="0.20751335409158725"/>
                    </c:manualLayout>
                  </c15:layout>
                </c:ext>
              </c:extLst>
            </c:dLbl>
            <c:dLbl>
              <c:idx val="1"/>
              <c:layout>
                <c:manualLayout>
                  <c:x val="-5.4264511672882987E-2"/>
                  <c:y val="0.13685132807418154"/>
                </c:manualLayout>
              </c:layout>
              <c:showLegendKey val="0"/>
              <c:showVal val="1"/>
              <c:showCatName val="1"/>
              <c:showSerName val="0"/>
              <c:showPercent val="0"/>
              <c:showBubbleSize val="0"/>
              <c:extLst>
                <c:ext xmlns:c15="http://schemas.microsoft.com/office/drawing/2012/chart" uri="{CE6537A1-D6FC-4f65-9D91-7224C49458BB}">
                  <c15:layout>
                    <c:manualLayout>
                      <c:w val="0.27723519823179998"/>
                      <c:h val="0.14484967730130874"/>
                    </c:manualLayout>
                  </c15:layout>
                </c:ext>
              </c:extLst>
            </c:dLbl>
            <c:spPr>
              <a:noFill/>
              <a:ln>
                <a:noFill/>
              </a:ln>
              <a:effectLst/>
            </c:spPr>
            <c:txPr>
              <a:bodyPr wrap="square" lIns="38100" tIns="19050" rIns="38100" bIns="19050" anchor="ctr">
                <a:spAutoFit/>
              </a:bodyPr>
              <a:lstStyle/>
              <a:p>
                <a:pPr>
                  <a:defRPr sz="1100" b="1">
                    <a:latin typeface="Arial" panose="020B0604020202020204" pitchFamily="34" charset="0"/>
                    <a:cs typeface="Arial" panose="020B0604020202020204" pitchFamily="34" charset="0"/>
                  </a:defRPr>
                </a:pPr>
                <a:endParaRPr lang="es-GT"/>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'[20 de sep al 6 de febrero 2023c.xlsx]TD format'!$P$4:$P$5</c:f>
              <c:strCache>
                <c:ptCount val="2"/>
                <c:pt idx="0">
                  <c:v>Mestizo/Ladino</c:v>
                </c:pt>
                <c:pt idx="1">
                  <c:v>Maya</c:v>
                </c:pt>
              </c:strCache>
            </c:strRef>
          </c:cat>
          <c:val>
            <c:numRef>
              <c:f>'[20 de sep al 6 de febrero 2023c.xlsx]TD format'!$Q$4:$Q$5</c:f>
              <c:numCache>
                <c:formatCode>0.0%</c:formatCode>
                <c:ptCount val="2"/>
                <c:pt idx="0">
                  <c:v>0.93434343434343436</c:v>
                </c:pt>
                <c:pt idx="1">
                  <c:v>6.5656565656565663E-2</c:v>
                </c:pt>
              </c:numCache>
            </c:numRef>
          </c:val>
        </c:ser>
        <c:dLbls>
          <c:showLegendKey val="0"/>
          <c:showVal val="0"/>
          <c:showCatName val="0"/>
          <c:showSerName val="0"/>
          <c:showPercent val="0"/>
          <c:showBubbleSize val="0"/>
          <c:showLeaderLines val="1"/>
        </c:dLbls>
        <c:firstSliceAng val="140"/>
      </c:pieChart>
      <c:spPr>
        <a:noFill/>
        <a:ln>
          <a:noFill/>
        </a:ln>
        <a:effectLst/>
      </c:spPr>
    </c:plotArea>
    <c:plotVisOnly val="1"/>
    <c:dispBlanksAs val="zero"/>
    <c:showDLblsOverMax val="0"/>
  </c:chart>
  <c:spPr>
    <a:solidFill>
      <a:schemeClr val="bg1"/>
    </a:solidFill>
    <a:ln w="28575" cap="flat" cmpd="sng" algn="ctr">
      <a:solidFill>
        <a:schemeClr val="accent1">
          <a:lumMod val="50000"/>
        </a:schemeClr>
      </a:solidFill>
      <a:round/>
    </a:ln>
    <a:effectLst/>
  </c:spPr>
  <c:txPr>
    <a:bodyPr/>
    <a:lstStyle/>
    <a:p>
      <a:pPr>
        <a:defRPr/>
      </a:pPr>
      <a:endParaRPr lang="es-G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13015609890871"/>
          <c:y val="0.31732157845751513"/>
          <c:w val="0.4700439287194364"/>
          <c:h val="0.4857234216281340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1.1545572592899674E-2"/>
                  <c:y val="0.2809367086760123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GT"/>
                </a:p>
              </c:txPr>
              <c:showLegendKey val="0"/>
              <c:showVal val="1"/>
              <c:showCatName val="1"/>
              <c:showSerName val="0"/>
              <c:showPercent val="0"/>
              <c:showBubbleSize val="0"/>
              <c:extLst>
                <c:ext xmlns:c15="http://schemas.microsoft.com/office/drawing/2012/chart" uri="{CE6537A1-D6FC-4f65-9D91-7224C49458BB}">
                  <c15:layout>
                    <c:manualLayout>
                      <c:w val="0.20746666666666663"/>
                      <c:h val="0.11168959301774026"/>
                    </c:manualLayout>
                  </c15:layout>
                </c:ext>
              </c:extLst>
            </c:dLbl>
            <c:dLbl>
              <c:idx val="1"/>
              <c:layout>
                <c:manualLayout>
                  <c:x val="1.872965879265092E-2"/>
                  <c:y val="-0.1365970129646202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2.8038347838099185E-2"/>
                  <c:y val="-0.3060941525034116"/>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9.8182842934106923E-2"/>
                  <c:y val="-0.20195894419592361"/>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7772178477690298"/>
                  <c:y val="-9.2404895171236123E-2"/>
                </c:manualLayout>
              </c:layout>
              <c:showLegendKey val="0"/>
              <c:showVal val="1"/>
              <c:showCatName val="1"/>
              <c:showSerName val="0"/>
              <c:showPercent val="0"/>
              <c:showBubbleSize val="0"/>
              <c:extLst>
                <c:ext xmlns:c15="http://schemas.microsoft.com/office/drawing/2012/chart" uri="{CE6537A1-D6FC-4f65-9D91-7224C49458BB}">
                  <c15:layout>
                    <c:manualLayout>
                      <c:w val="0.1607859649122807"/>
                      <c:h val="9.6385542168674704E-2"/>
                    </c:manualLayout>
                  </c15:layout>
                </c:ext>
              </c:extLst>
            </c:dLbl>
            <c:dLbl>
              <c:idx val="5"/>
              <c:layout>
                <c:manualLayout>
                  <c:x val="0.13515678961182473"/>
                  <c:y val="3.786766691234964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2.1863351291614864E-2"/>
                  <c:y val="0.17094714411856998"/>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GT"/>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'TD format'!$P$23:$P$29</c:f>
              <c:strCache>
                <c:ptCount val="7"/>
                <c:pt idx="0">
                  <c:v>Achi</c:v>
                </c:pt>
                <c:pt idx="1">
                  <c:v>Español</c:v>
                </c:pt>
                <c:pt idx="2">
                  <c:v>Kaqchikel</c:v>
                </c:pt>
                <c:pt idx="3">
                  <c:v>K'iche'</c:v>
                </c:pt>
                <c:pt idx="4">
                  <c:v>Q'eqchi'</c:v>
                </c:pt>
                <c:pt idx="5">
                  <c:v>Sakapulteka</c:v>
                </c:pt>
                <c:pt idx="6">
                  <c:v>Uspanteka</c:v>
                </c:pt>
              </c:strCache>
            </c:strRef>
          </c:cat>
          <c:val>
            <c:numRef>
              <c:f>'TD format'!$Q$23:$Q$29</c:f>
              <c:numCache>
                <c:formatCode>0.00%</c:formatCode>
                <c:ptCount val="7"/>
                <c:pt idx="0">
                  <c:v>5.0505050505050509E-3</c:v>
                </c:pt>
                <c:pt idx="1">
                  <c:v>0.94444444444444442</c:v>
                </c:pt>
                <c:pt idx="2">
                  <c:v>1.5151515151515152E-2</c:v>
                </c:pt>
                <c:pt idx="3">
                  <c:v>1.5151515151515152E-2</c:v>
                </c:pt>
                <c:pt idx="4">
                  <c:v>5.0505050505050509E-3</c:v>
                </c:pt>
                <c:pt idx="5">
                  <c:v>1.0101010101010102E-2</c:v>
                </c:pt>
                <c:pt idx="6">
                  <c:v>5.0505050505050509E-3</c:v>
                </c:pt>
              </c:numCache>
            </c:numRef>
          </c:val>
        </c:ser>
        <c:dLbls>
          <c:showLegendKey val="0"/>
          <c:showVal val="0"/>
          <c:showCatName val="0"/>
          <c:showSerName val="0"/>
          <c:showPercent val="0"/>
          <c:showBubbleSize val="0"/>
          <c:showLeaderLines val="1"/>
        </c:dLbls>
        <c:firstSliceAng val="98"/>
      </c:pieChart>
      <c:spPr>
        <a:noFill/>
        <a:ln>
          <a:noFill/>
        </a:ln>
        <a:effectLst/>
      </c:spPr>
    </c:plotArea>
    <c:plotVisOnly val="1"/>
    <c:dispBlanksAs val="zero"/>
    <c:showDLblsOverMax val="0"/>
  </c:chart>
  <c:spPr>
    <a:solidFill>
      <a:schemeClr val="bg1"/>
    </a:solidFill>
    <a:ln w="28575" cap="flat" cmpd="sng" algn="ctr">
      <a:solidFill>
        <a:schemeClr val="accent1">
          <a:lumMod val="50000"/>
        </a:schemeClr>
      </a:solidFill>
      <a:round/>
    </a:ln>
    <a:effectLst/>
  </c:spPr>
  <c:txPr>
    <a:bodyPr/>
    <a:lstStyle/>
    <a:p>
      <a:pPr>
        <a:defRPr sz="1100">
          <a:latin typeface="Arial" panose="020B0604020202020204" pitchFamily="34" charset="0"/>
          <a:cs typeface="Arial" panose="020B0604020202020204" pitchFamily="34" charset="0"/>
        </a:defRPr>
      </a:pPr>
      <a:endParaRPr lang="es-G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Eleuterio Cahuec del Valle</cp:lastModifiedBy>
  <cp:revision>4</cp:revision>
  <cp:lastPrinted>2024-02-05T18:02:00Z</cp:lastPrinted>
  <dcterms:created xsi:type="dcterms:W3CDTF">2024-02-05T17:59:00Z</dcterms:created>
  <dcterms:modified xsi:type="dcterms:W3CDTF">2024-02-05T18:03:00Z</dcterms:modified>
</cp:coreProperties>
</file>